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CF0133">
      <w:pPr>
        <w:tabs>
          <w:tab w:val="left" w:pos="0"/>
        </w:tabs>
        <w:spacing w:line="360" w:lineRule="auto"/>
        <w:jc w:val="center"/>
        <w:rPr>
          <w:b/>
        </w:rPr>
      </w:pPr>
      <w:r w:rsidRPr="004B48DB">
        <w:rPr>
          <w:b/>
        </w:rPr>
        <w:t xml:space="preserve">E D I T A L D E CHAMADA PÚBLICA Nº.  </w:t>
      </w:r>
      <w:r>
        <w:rPr>
          <w:b/>
        </w:rPr>
        <w:t>00</w:t>
      </w:r>
      <w:r w:rsidR="009C6844">
        <w:rPr>
          <w:b/>
        </w:rPr>
        <w:t>3</w:t>
      </w:r>
      <w:r>
        <w:rPr>
          <w:b/>
        </w:rPr>
        <w:t>/2012</w:t>
      </w:r>
      <w:r w:rsidR="00D80B1E">
        <w:rPr>
          <w:b/>
        </w:rPr>
        <w:t xml:space="preserve"> </w:t>
      </w:r>
    </w:p>
    <w:p w:rsidR="00CF0133" w:rsidRPr="004B48DB" w:rsidRDefault="00CF0133" w:rsidP="00CF0133">
      <w:pPr>
        <w:spacing w:line="360" w:lineRule="auto"/>
        <w:jc w:val="both"/>
        <w:rPr>
          <w:lang w:val="pt-PT"/>
        </w:rPr>
      </w:pPr>
    </w:p>
    <w:p w:rsidR="00CF0133" w:rsidRPr="00EB099C" w:rsidRDefault="00CF0133" w:rsidP="00CF0133">
      <w:pPr>
        <w:keepLines/>
        <w:spacing w:before="120" w:after="360" w:line="360" w:lineRule="auto"/>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da Unidade Escolar</w:t>
      </w:r>
      <w:r w:rsidR="003E3611">
        <w:rPr>
          <w:lang w:val="pt-PT"/>
        </w:rPr>
        <w:t xml:space="preserve"> Colégio Estadual Alzira Alves de Queiroz,</w:t>
      </w:r>
      <w:r>
        <w:rPr>
          <w:lang w:val="pt-PT"/>
        </w:rPr>
        <w:t xml:space="preserve">  no Estado de Goiás, pessoa jurídica de Direito Privado, com sede  na Rua 105 </w:t>
      </w:r>
      <w:r>
        <w:rPr>
          <w:lang w:val="pt-PT"/>
        </w:rPr>
        <w:tab/>
        <w:t>Qd.51 S/N. Jardim Tropical ,A</w:t>
      </w:r>
      <w:r w:rsidR="003E3611">
        <w:rPr>
          <w:lang w:val="pt-PT"/>
        </w:rPr>
        <w:t>parecida de Goiania</w:t>
      </w:r>
      <w:r>
        <w:rPr>
          <w:lang w:val="pt-PT"/>
        </w:rPr>
        <w:t xml:space="preserve">,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D363CE">
        <w:rPr>
          <w:lang w:val="pt-PT"/>
        </w:rPr>
        <w:t xml:space="preserve"> Agosto </w:t>
      </w:r>
      <w:r w:rsidR="00DE078A">
        <w:rPr>
          <w:lang w:val="pt-PT"/>
        </w:rPr>
        <w:t xml:space="preserve">a </w:t>
      </w:r>
      <w:r w:rsidR="00D363CE">
        <w:rPr>
          <w:lang w:val="pt-PT"/>
        </w:rPr>
        <w:t>Outubro</w:t>
      </w:r>
      <w:r w:rsidRPr="004B48DB">
        <w:rPr>
          <w:lang w:val="pt-PT"/>
        </w:rPr>
        <w:t xml:space="preserve">  Os interessados deverão apresentar a documentação para habilitaçã</w:t>
      </w:r>
      <w:r>
        <w:rPr>
          <w:lang w:val="pt-PT"/>
        </w:rPr>
        <w:t xml:space="preserve">o e proposta de preços até o dia </w:t>
      </w:r>
      <w:r w:rsidR="00D363CE">
        <w:rPr>
          <w:lang w:val="pt-PT"/>
        </w:rPr>
        <w:t>15</w:t>
      </w:r>
      <w:r>
        <w:rPr>
          <w:lang w:val="pt-PT"/>
        </w:rPr>
        <w:t>/0</w:t>
      </w:r>
      <w:r w:rsidR="00D363CE">
        <w:rPr>
          <w:lang w:val="pt-PT"/>
        </w:rPr>
        <w:t>6</w:t>
      </w:r>
      <w:r>
        <w:rPr>
          <w:lang w:val="pt-PT"/>
        </w:rPr>
        <w:t>/2012</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,Jardim Tropical,Aparecida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w:t>
      </w:r>
      <w:r w:rsidRPr="004B48DB">
        <w:rPr>
          <w:snapToGrid w:val="0"/>
        </w:rPr>
        <w:lastRenderedPageBreak/>
        <w:t xml:space="preserve">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w:t>
      </w:r>
      <w:r w:rsidR="00D363CE">
        <w:rPr>
          <w:b/>
          <w:bCs/>
        </w:rPr>
        <w:t>3</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w:t>
      </w:r>
      <w:r w:rsidR="00D363CE">
        <w:rPr>
          <w:b/>
          <w:bCs/>
        </w:rPr>
        <w:t>3</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w:t>
      </w:r>
      <w:r w:rsidR="00D363CE">
        <w:rPr>
          <w:b/>
          <w:bCs/>
        </w:rPr>
        <w:t>3</w:t>
      </w:r>
      <w:r w:rsidRPr="004B48DB">
        <w:rPr>
          <w:b/>
          <w:bCs/>
        </w:rPr>
        <w:t>-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 xml:space="preserve">c) Preço unitário de cada item (algarismo), devendo ser cotado em Real e com até duas </w:t>
      </w:r>
      <w:r w:rsidRPr="004B48DB">
        <w:lastRenderedPageBreak/>
        <w:t>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durante o período</w:t>
      </w:r>
      <w:r>
        <w:rPr>
          <w:lang w:val="pt-PT"/>
        </w:rPr>
        <w:t>,</w:t>
      </w:r>
      <w:r w:rsidR="00D363CE">
        <w:rPr>
          <w:lang w:val="pt-PT"/>
        </w:rPr>
        <w:t xml:space="preserve"> Agosto </w:t>
      </w:r>
      <w:r w:rsidR="00DE078A">
        <w:rPr>
          <w:lang w:val="pt-PT"/>
        </w:rPr>
        <w:t xml:space="preserve">a </w:t>
      </w:r>
      <w:r w:rsidR="00D363CE">
        <w:rPr>
          <w:lang w:val="pt-PT"/>
        </w:rPr>
        <w:t>Outubro</w:t>
      </w:r>
      <w:r>
        <w:rPr>
          <w:lang w:val="pt-PT"/>
        </w:rPr>
        <w:t xml:space="preserve"> </w:t>
      </w:r>
      <w:r w:rsidR="00D363CE">
        <w:rPr>
          <w:lang w:val="pt-PT"/>
        </w:rPr>
        <w:t>a</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D363CE">
        <w:t>3</w:t>
      </w:r>
      <w:r w:rsidRPr="004B48DB">
        <w:t>/201</w:t>
      </w:r>
      <w:r>
        <w:t>2</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O prazo de vigência do contrato será de 0</w:t>
      </w:r>
      <w:r w:rsidR="007C75BA">
        <w:t>3 (três</w:t>
      </w:r>
      <w:proofErr w:type="gramStart"/>
      <w:r w:rsidR="007C75BA">
        <w:t xml:space="preserve"> </w:t>
      </w:r>
      <w:r>
        <w:t>)</w:t>
      </w:r>
      <w:proofErr w:type="gramEnd"/>
      <w:r w:rsidRPr="004B48DB">
        <w:t xml:space="preserve"> mese</w:t>
      </w:r>
      <w:r w:rsidR="007C75BA">
        <w:t xml:space="preserve">s, período este compreendido 01 de </w:t>
      </w:r>
      <w:r w:rsidR="00D363CE">
        <w:t>Agosto</w:t>
      </w:r>
      <w:r w:rsidR="00DE078A">
        <w:t xml:space="preserve"> a </w:t>
      </w:r>
      <w:r w:rsidR="007C75BA">
        <w:t xml:space="preserve">31 de </w:t>
      </w:r>
      <w:r w:rsidR="00DE078A">
        <w:t>Outubro</w:t>
      </w:r>
      <w:r w:rsidRPr="006210F5">
        <w:t>,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w:t>
      </w:r>
      <w:r w:rsidRPr="004B48DB">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DE078A">
        <w:t>Agosto a Outubro</w:t>
      </w:r>
      <w:r w:rsidRPr="006210F5">
        <w:t>,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lastRenderedPageBreak/>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w:t>
      </w:r>
      <w:r w:rsidRPr="004B48DB">
        <w:lastRenderedPageBreak/>
        <w:t>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CF0133" w:rsidP="00DE078A">
            <w:pPr>
              <w:autoSpaceDE w:val="0"/>
              <w:autoSpaceDN w:val="0"/>
              <w:adjustRightInd w:val="0"/>
            </w:pPr>
            <w:r>
              <w:t>1</w:t>
            </w:r>
            <w:r w:rsidR="00DE078A">
              <w:t>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DE078A" w:rsidP="00DE078A">
            <w:pPr>
              <w:autoSpaceDE w:val="0"/>
              <w:autoSpaceDN w:val="0"/>
              <w:adjustRightInd w:val="0"/>
            </w:pPr>
            <w:proofErr w:type="gramStart"/>
            <w:r>
              <w:t>8</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CF0133" w:rsidP="00D664E0">
            <w:pPr>
              <w:autoSpaceDE w:val="0"/>
              <w:autoSpaceDN w:val="0"/>
              <w:adjustRightInd w:val="0"/>
            </w:pPr>
            <w:r w:rsidRPr="004B48DB">
              <w:t>1</w:t>
            </w:r>
            <w:r>
              <w:t>1</w:t>
            </w:r>
            <w:r w:rsidRPr="004B48DB">
              <w:t>0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CF0133" w:rsidP="00DE078A">
            <w:pPr>
              <w:autoSpaceDE w:val="0"/>
              <w:autoSpaceDN w:val="0"/>
              <w:adjustRightInd w:val="0"/>
            </w:pPr>
            <w:r>
              <w:t>9</w:t>
            </w:r>
            <w:r w:rsidR="00DE078A">
              <w:t>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CF0133" w:rsidP="00D664E0">
            <w:pPr>
              <w:autoSpaceDE w:val="0"/>
              <w:autoSpaceDN w:val="0"/>
              <w:adjustRightInd w:val="0"/>
            </w:pPr>
            <w:r>
              <w:t>12</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CF0133" w:rsidP="00D664E0">
            <w:pPr>
              <w:autoSpaceDE w:val="0"/>
              <w:autoSpaceDN w:val="0"/>
              <w:adjustRightInd w:val="0"/>
              <w:jc w:val="both"/>
              <w:rPr>
                <w:bCs/>
              </w:rPr>
            </w:pPr>
            <w:r>
              <w:rPr>
                <w:bCs/>
              </w:rPr>
              <w:t>118</w:t>
            </w:r>
            <w:r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CF0133" w:rsidP="00D664E0">
            <w:pPr>
              <w:autoSpaceDE w:val="0"/>
              <w:autoSpaceDN w:val="0"/>
              <w:adjustRightInd w:val="0"/>
            </w:pPr>
            <w:r>
              <w:t>114</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CF0133" w:rsidP="00D664E0">
            <w:pPr>
              <w:autoSpaceDE w:val="0"/>
              <w:autoSpaceDN w:val="0"/>
              <w:adjustRightInd w:val="0"/>
            </w:pPr>
            <w:r>
              <w:t>80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CF0133" w:rsidP="00D664E0">
            <w:pPr>
              <w:autoSpaceDE w:val="0"/>
              <w:autoSpaceDN w:val="0"/>
              <w:adjustRightInd w:val="0"/>
            </w:pPr>
            <w:r>
              <w:t>110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DE078A" w:rsidP="00D664E0">
            <w:pPr>
              <w:autoSpaceDE w:val="0"/>
              <w:autoSpaceDN w:val="0"/>
              <w:adjustRightInd w:val="0"/>
              <w:jc w:val="both"/>
              <w:rPr>
                <w:bCs/>
              </w:rPr>
            </w:pPr>
            <w:proofErr w:type="gramStart"/>
            <w:r>
              <w:rPr>
                <w:bCs/>
              </w:rPr>
              <w:t>60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DE078A" w:rsidP="00D664E0">
            <w:pPr>
              <w:autoSpaceDE w:val="0"/>
              <w:autoSpaceDN w:val="0"/>
              <w:adjustRightInd w:val="0"/>
              <w:jc w:val="both"/>
              <w:rPr>
                <w:bCs/>
              </w:rPr>
            </w:pPr>
            <w:proofErr w:type="gramStart"/>
            <w:r>
              <w:rPr>
                <w:bCs/>
              </w:rPr>
              <w:t>55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CF0133" w:rsidP="00D664E0">
            <w:pPr>
              <w:autoSpaceDE w:val="0"/>
              <w:autoSpaceDN w:val="0"/>
              <w:adjustRightInd w:val="0"/>
              <w:jc w:val="both"/>
              <w:rPr>
                <w:bCs/>
              </w:rPr>
            </w:pPr>
            <w:r>
              <w:rPr>
                <w:bCs/>
              </w:rPr>
              <w:t>14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DE078A" w:rsidP="00DE078A">
            <w:pPr>
              <w:autoSpaceDE w:val="0"/>
              <w:autoSpaceDN w:val="0"/>
              <w:adjustRightInd w:val="0"/>
              <w:jc w:val="both"/>
              <w:rPr>
                <w:bCs/>
              </w:rPr>
            </w:pPr>
            <w:r>
              <w:rPr>
                <w:bCs/>
              </w:rPr>
              <w:t>18</w:t>
            </w:r>
            <w:r w:rsidR="00CF0133">
              <w:rPr>
                <w:bCs/>
              </w:rPr>
              <w:t xml:space="preserve">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CF0133" w:rsidP="00D664E0">
            <w:pPr>
              <w:autoSpaceDE w:val="0"/>
              <w:autoSpaceDN w:val="0"/>
              <w:adjustRightInd w:val="0"/>
              <w:jc w:val="both"/>
              <w:rPr>
                <w:bCs/>
              </w:rPr>
            </w:pPr>
            <w:r>
              <w:rPr>
                <w:bCs/>
              </w:rPr>
              <w:t>03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DE078A" w:rsidP="00D664E0">
            <w:pPr>
              <w:autoSpaceDE w:val="0"/>
              <w:autoSpaceDN w:val="0"/>
              <w:adjustRightInd w:val="0"/>
              <w:jc w:val="both"/>
              <w:rPr>
                <w:bCs/>
              </w:rPr>
            </w:pPr>
            <w:proofErr w:type="gramStart"/>
            <w:r>
              <w:rPr>
                <w:bCs/>
              </w:rPr>
              <w:t>50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CF0133" w:rsidP="00D664E0">
            <w:pPr>
              <w:autoSpaceDE w:val="0"/>
              <w:autoSpaceDN w:val="0"/>
              <w:adjustRightInd w:val="0"/>
              <w:jc w:val="both"/>
              <w:rPr>
                <w:bCs/>
              </w:rPr>
            </w:pPr>
            <w:proofErr w:type="gramStart"/>
            <w:r>
              <w:rPr>
                <w:bCs/>
              </w:rPr>
              <w:t>80 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DE078A" w:rsidP="00D664E0">
            <w:pPr>
              <w:autoSpaceDE w:val="0"/>
              <w:autoSpaceDN w:val="0"/>
              <w:adjustRightInd w:val="0"/>
              <w:jc w:val="both"/>
              <w:rPr>
                <w:bCs/>
              </w:rPr>
            </w:pPr>
            <w:proofErr w:type="gramStart"/>
            <w:r>
              <w:rPr>
                <w:bCs/>
              </w:rPr>
              <w:t>53</w:t>
            </w:r>
            <w:r w:rsidR="00CF0133">
              <w:rPr>
                <w:bCs/>
              </w:rPr>
              <w:t>Kg</w:t>
            </w:r>
            <w:proofErr w:type="gramEnd"/>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 xml:space="preserve">GOIÂNIA, </w:t>
      </w:r>
      <w:r w:rsidR="00DE078A">
        <w:rPr>
          <w:b/>
        </w:rPr>
        <w:t xml:space="preserve">11 </w:t>
      </w:r>
      <w:r w:rsidR="00CF0133" w:rsidRPr="004B48DB">
        <w:rPr>
          <w:b/>
        </w:rPr>
        <w:t xml:space="preserve">DE </w:t>
      </w:r>
      <w:r w:rsidR="00DE078A">
        <w:rPr>
          <w:b/>
        </w:rPr>
        <w:t xml:space="preserve">JUNHO </w:t>
      </w:r>
      <w:r w:rsidR="00CF0133" w:rsidRPr="004B48DB">
        <w:rPr>
          <w:b/>
        </w:rPr>
        <w:t>DE 201</w:t>
      </w:r>
      <w:r w:rsidR="00CF0133">
        <w:rPr>
          <w:b/>
        </w:rPr>
        <w:t>2</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3F" w:rsidRDefault="000A3F3F" w:rsidP="00CF0133">
      <w:r>
        <w:separator/>
      </w:r>
    </w:p>
  </w:endnote>
  <w:endnote w:type="continuationSeparator" w:id="0">
    <w:p w:rsidR="000A3F3F" w:rsidRDefault="000A3F3F"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3F" w:rsidRDefault="000A3F3F" w:rsidP="00CF0133">
      <w:r>
        <w:separator/>
      </w:r>
    </w:p>
  </w:footnote>
  <w:footnote w:type="continuationSeparator" w:id="0">
    <w:p w:rsidR="000A3F3F" w:rsidRDefault="000A3F3F"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CF0133" w:rsidP="00CF0133">
    <w:pPr>
      <w:pStyle w:val="Cabealh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CF0133"/>
    <w:rsid w:val="000A3F3F"/>
    <w:rsid w:val="001213E5"/>
    <w:rsid w:val="002143BC"/>
    <w:rsid w:val="003E3611"/>
    <w:rsid w:val="00461E10"/>
    <w:rsid w:val="004E4177"/>
    <w:rsid w:val="00741B52"/>
    <w:rsid w:val="00780D5E"/>
    <w:rsid w:val="007C75BA"/>
    <w:rsid w:val="008137D1"/>
    <w:rsid w:val="0082326E"/>
    <w:rsid w:val="008A63D6"/>
    <w:rsid w:val="009C6844"/>
    <w:rsid w:val="00C55F50"/>
    <w:rsid w:val="00CF0133"/>
    <w:rsid w:val="00D363CE"/>
    <w:rsid w:val="00D80B1E"/>
    <w:rsid w:val="00DE078A"/>
    <w:rsid w:val="00EC1E51"/>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2973</Words>
  <Characters>16056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eunice.almeida</cp:lastModifiedBy>
  <cp:revision>3</cp:revision>
  <cp:lastPrinted>2006-01-01T19:15:00Z</cp:lastPrinted>
  <dcterms:created xsi:type="dcterms:W3CDTF">2012-06-15T11:47:00Z</dcterms:created>
  <dcterms:modified xsi:type="dcterms:W3CDTF">2012-07-05T14:51:00Z</dcterms:modified>
</cp:coreProperties>
</file>